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70B5E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0B5E" w:rsidP="00270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0C765" wp14:editId="39AE5CF6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-782320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0C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78.2pt;margin-top:-61.6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dl5zeuEAAAANAQAADwAAAGRycy9kb3ducmV2&#10;LnhtbEyPTU/DMAyG70j8h8hI3DZnbTdYaTohEFcQ40PiljVeW9E4VZOt5d8vO42j7Uevn7fYTLYT&#10;Rxp861jBYi5BEFfOtFwr+Px4md2D8EGz0Z1jUvBHHjbl9VWhc+NGfqfjNtQihrDPtYImhD5H9FVD&#10;Vvu564njbe8Gq0MchxrNoMcYbjtMpFyh1S3HD43u6amh6nd7sAq+Xvc/35l8q5/tsh/dJJHtGpW6&#10;vZkeH0AEmsIFhrN+VIcyOu3cgY0XnYJ0ucoiqmC2SNIExBlJ5F0KYhd3mVwDlgX+b1GeAA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HZec3rhAAAADQ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CE2BF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Bodily Fluid Cleanup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5878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2/17/15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 xml:space="preserve"> Custodial Employee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>Ralph Savage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 xml:space="preserve"> Custodial Department</w:t>
            </w:r>
          </w:p>
        </w:tc>
      </w:tr>
      <w:tr w:rsidR="002122A6" w:rsidRPr="00511686" w:rsidTr="00270B5E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 xml:space="preserve"> SUU 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 xml:space="preserve"> Custodial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 xml:space="preserve"> Ralph Savage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>Emergency Clean-Up Kit, Gloves, Eye Protection, Face Shield, Apron, Slippers, Tongs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0B5E">
              <w:rPr>
                <w:rFonts w:ascii="Calibri" w:eastAsia="Times New Roman" w:hAnsi="Calibri" w:cs="Times New Roman"/>
                <w:color w:val="000000"/>
              </w:rPr>
              <w:t>Safe Custodial Practices Video, Blood Borne Pathogen CANVAS Training/Quiz</w:t>
            </w:r>
          </w:p>
        </w:tc>
      </w:tr>
      <w:tr w:rsidR="002122A6" w:rsidRPr="00511686" w:rsidTr="00270B5E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270B5E" w:rsidTr="00270B5E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207B72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BFB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Secure the Area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BFB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Slip and fall</w:t>
            </w:r>
          </w:p>
          <w:p w:rsidR="00270B5E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BBP exposure to employees, students, or the other building visitors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Cones, Caution Tape, “Closed for Cleaning” Signs</w:t>
            </w:r>
          </w:p>
        </w:tc>
      </w:tr>
      <w:tr w:rsidR="002122A6" w:rsidRPr="00270B5E" w:rsidTr="00270B5E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207B72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Cleanup Bodily Fluid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BFB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2a. Contact with BBP during cleaning, or due to splashing</w:t>
            </w:r>
          </w:p>
          <w:p w:rsidR="00270B5E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2b. Broken glass, needles, or other sharp materials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2a. Prepare an approved red biohazard bag for disposal, and a sharps container if applicable. Always wear gloves and closed toe shoes when performing a bodily fluid cleanup. Eye protection, face shield, apron, or slippers/show covers may be necessary if the spill is substantial enough to present a splash risk. First apply absorbent powder to wet spills to minimize splash risk.</w:t>
            </w:r>
          </w:p>
          <w:p w:rsidR="00270B5E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  <w:p w:rsidR="00270B5E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2b. Remove known sharps with tongs or by other mechanical means for disposal in approved sharps container. Use disposable scrapers/spatulas from Clean-Up Kit to scrape up absorbent material to minimize contact with spill</w:t>
            </w:r>
          </w:p>
        </w:tc>
      </w:tr>
      <w:tr w:rsidR="002122A6" w:rsidRPr="00270B5E" w:rsidTr="00270B5E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207B72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Disinfect Area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BBP or chemical exposure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207B72" w:rsidRDefault="00270B5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Use gloves to minimize exposure risk. Spray the affected area with an approved disinfectant and allow to dwell for the manufacturer recommended time (usually at least 10 minutes). </w:t>
            </w:r>
            <w:r w:rsidR="00207B72" w:rsidRPr="00207B72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Wipe up the disinfectant using paper towels and discard in your biohazard bag. </w:t>
            </w:r>
          </w:p>
        </w:tc>
      </w:tr>
    </w:tbl>
    <w:p w:rsidR="001534C5" w:rsidRDefault="00124FAA">
      <w:r>
        <w:rPr>
          <w:noProof/>
        </w:rPr>
        <w:drawing>
          <wp:inline distT="0" distB="0" distL="0" distR="0" wp14:anchorId="5D9190C2" wp14:editId="346B3E1D">
            <wp:extent cx="1996126" cy="577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227" cy="58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597" w:rsidRDefault="003A1597" w:rsidP="00511686">
      <w:pPr>
        <w:spacing w:after="0" w:line="240" w:lineRule="auto"/>
      </w:pPr>
      <w:r>
        <w:separator/>
      </w:r>
    </w:p>
  </w:endnote>
  <w:endnote w:type="continuationSeparator" w:id="0">
    <w:p w:rsidR="003A1597" w:rsidRDefault="003A1597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597" w:rsidRDefault="003A1597" w:rsidP="00511686">
      <w:pPr>
        <w:spacing w:after="0" w:line="240" w:lineRule="auto"/>
      </w:pPr>
      <w:r>
        <w:separator/>
      </w:r>
    </w:p>
  </w:footnote>
  <w:footnote w:type="continuationSeparator" w:id="0">
    <w:p w:rsidR="003A1597" w:rsidRDefault="003A1597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24FAA"/>
    <w:rsid w:val="00207B72"/>
    <w:rsid w:val="002122A6"/>
    <w:rsid w:val="00270B5E"/>
    <w:rsid w:val="00340528"/>
    <w:rsid w:val="003A1597"/>
    <w:rsid w:val="00511686"/>
    <w:rsid w:val="0058789E"/>
    <w:rsid w:val="007A5EFD"/>
    <w:rsid w:val="008F3096"/>
    <w:rsid w:val="008F3B24"/>
    <w:rsid w:val="0093534C"/>
    <w:rsid w:val="00C557DA"/>
    <w:rsid w:val="00CE2BFB"/>
    <w:rsid w:val="00D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7AAC-45A3-4827-986A-F536E6F3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2020-12-11T21:22:00Z</dcterms:created>
  <dcterms:modified xsi:type="dcterms:W3CDTF">2020-12-11T21:22:00Z</dcterms:modified>
</cp:coreProperties>
</file>